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A7" w:rsidRDefault="00BC2BBB" w:rsidP="00BC2BBB">
      <w:pPr>
        <w:jc w:val="center"/>
        <w:rPr>
          <w:b/>
        </w:rPr>
      </w:pPr>
      <w:r>
        <w:rPr>
          <w:b/>
        </w:rPr>
        <w:t>Доклад на тему «Источники английского права»</w:t>
      </w:r>
    </w:p>
    <w:p w:rsidR="00BC2BBB" w:rsidRDefault="00BC2BBB" w:rsidP="00BC2BBB">
      <w:pPr>
        <w:jc w:val="right"/>
      </w:pPr>
      <w:r>
        <w:t>Выполнила студентка группы ЮЮГ-441</w:t>
      </w:r>
    </w:p>
    <w:p w:rsidR="00BC2BBB" w:rsidRDefault="00BC2BBB" w:rsidP="00BC2BBB">
      <w:pPr>
        <w:jc w:val="right"/>
      </w:pPr>
      <w:r>
        <w:t xml:space="preserve">Кириллова Анастасия Игоревна 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Английское право – система, основанная на грамотном сочетании законов (статутов) и прецедента, активно используется судебное толкование законодательных норм. Для английской (общей) системы характерна гибкость и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многовековость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применения нормативных актов. Но статутные нормы меняются, если того требуют технологии или другие экономические перемены.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Английская правовая система (известна как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Common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Law</w:t>
      </w:r>
      <w:proofErr w:type="spellEnd"/>
      <w:r>
        <w:rPr>
          <w:rFonts w:ascii="Arial" w:hAnsi="Arial" w:cs="Arial"/>
          <w:color w:val="303030"/>
          <w:sz w:val="19"/>
          <w:szCs w:val="19"/>
        </w:rPr>
        <w:t>) действует не только в странах Британского содружества, но распространена в США, Канаде, Австралии, Новой Зеландии и Северной Ирландии.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Как таковых отраслей в английском праве нет, есть система отдельных институтов либо проблем – договоры, собственность, гражданские и уголовные процедуры, процедуры магистратских судов.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В уголовном праве выделяют совершение уголовно наказуемого действия либо бездействия и совершение уголовного деяния со злым умыслом.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Помимо уголовного права выделяют другие отрасли, список которых не является исчерпывающим: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Конституционное право;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Административное право;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Семейное право;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Деликтное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право (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Tort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);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Договорное право;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Имущественное право;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Трасты;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Трудовое право;</w:t>
      </w:r>
    </w:p>
    <w:p w:rsidR="00BE0BC7" w:rsidRPr="00BE0BC7" w:rsidRDefault="00BE0BC7" w:rsidP="00BE0BC7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Доказательное право.</w:t>
      </w:r>
    </w:p>
    <w:p w:rsidR="00BE0BC7" w:rsidRPr="00BE0BC7" w:rsidRDefault="00BE0BC7" w:rsidP="00BE0BC7">
      <w:pPr>
        <w:shd w:val="clear" w:color="auto" w:fill="FFFFFF"/>
        <w:spacing w:before="192" w:after="240" w:line="480" w:lineRule="atLeast"/>
        <w:outlineLvl w:val="1"/>
        <w:rPr>
          <w:rFonts w:ascii="PT Serif" w:eastAsia="Times New Roman" w:hAnsi="PT Serif" w:cs="Times New Roman"/>
          <w:b/>
          <w:bCs/>
          <w:color w:val="303030"/>
          <w:sz w:val="40"/>
          <w:szCs w:val="40"/>
          <w:lang w:eastAsia="ru-RU"/>
        </w:rPr>
      </w:pPr>
      <w:r w:rsidRPr="00BE0BC7">
        <w:rPr>
          <w:rFonts w:ascii="PT Serif" w:eastAsia="Times New Roman" w:hAnsi="PT Serif" w:cs="Times New Roman"/>
          <w:b/>
          <w:bCs/>
          <w:color w:val="303030"/>
          <w:sz w:val="40"/>
          <w:szCs w:val="40"/>
          <w:lang w:eastAsia="ru-RU"/>
        </w:rPr>
        <w:t>История возникновения английского права</w:t>
      </w:r>
    </w:p>
    <w:p w:rsidR="00BE0BC7" w:rsidRPr="00BE0BC7" w:rsidRDefault="00BE0BC7" w:rsidP="00BE0BC7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А</w:t>
      </w: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нглосаксонская правовая система зародилась во времена правления Вильгельма Завоевателя Англией. К завоеванию английских территорий в стране не было общих источников права, которые применялись бы всем населением. Отсутствовала единая судебная система, а страна нуждалась в централизации государственных органов, которые могли бы заниматься принудительным исполнением законодательных норм. Общее право в привычном виде стало формироваться с 1189 года, когда у королевских судей появились более широкие полномочия и они стали вышестоящей инстанцией над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сотенскими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, графскими и феодальными судами.</w:t>
      </w:r>
    </w:p>
    <w:p w:rsidR="00BE0BC7" w:rsidRPr="00BE0BC7" w:rsidRDefault="00BE0BC7" w:rsidP="00BE0BC7">
      <w:pPr>
        <w:shd w:val="clear" w:color="auto" w:fill="FFFFFF"/>
        <w:spacing w:before="192" w:after="240" w:line="480" w:lineRule="atLeast"/>
        <w:outlineLvl w:val="1"/>
        <w:rPr>
          <w:rFonts w:ascii="PT Serif" w:eastAsia="Times New Roman" w:hAnsi="PT Serif" w:cs="Times New Roman"/>
          <w:b/>
          <w:bCs/>
          <w:color w:val="303030"/>
          <w:sz w:val="40"/>
          <w:szCs w:val="40"/>
          <w:lang w:eastAsia="ru-RU"/>
        </w:rPr>
      </w:pPr>
      <w:r w:rsidRPr="00BE0BC7">
        <w:rPr>
          <w:rFonts w:ascii="PT Serif" w:eastAsia="Times New Roman" w:hAnsi="PT Serif" w:cs="Times New Roman"/>
          <w:b/>
          <w:bCs/>
          <w:color w:val="303030"/>
          <w:sz w:val="40"/>
          <w:szCs w:val="40"/>
          <w:lang w:eastAsia="ru-RU"/>
        </w:rPr>
        <w:lastRenderedPageBreak/>
        <w:t>Источники английского права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Для применения обычая нужно, чтобы он отвечал ряду характеристик: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Должен толковаться независимо от региона;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proofErr w:type="gram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Распространен</w:t>
      </w:r>
      <w:proofErr w:type="gram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в конкретной отрасли экономики;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Соответствовал или не противоречил закону;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Должен быть источником правового последствия;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Должен быть разумным.</w:t>
      </w:r>
    </w:p>
    <w:p w:rsidR="00BE0BC7" w:rsidRPr="00BE0BC7" w:rsidRDefault="00BE0BC7" w:rsidP="00BE0B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По делу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Chan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Cheng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Kum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and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another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v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.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War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Tat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Bank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Limited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and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another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(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Singapore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) [1971] UKPC 10 (29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March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1971) судом было выражено мнение, что обычай должен быть универсальным и восприниматься предпринимателями в конкретной отрасли. Наконец, обычай должен быть максимально известным для случайных людей.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Закон в английской системе права принимает форму статута. Его утверждает британский Парламент и одобряет королева. Если в тексте статута не указана конкретная дата вступления в силу, то он начинает действовать с момента получения согласия королевы. При указании даты в акте он действует с момента назначения этой даты министром правительства или с момента оформления специального приказа в тайном совете. Могут быть разные даты вступления в силу для разных разделов.</w:t>
      </w:r>
    </w:p>
    <w:p w:rsidR="00BE0BC7" w:rsidRPr="00BE0BC7" w:rsidRDefault="00BE0BC7" w:rsidP="00BE0B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Статут не имеет обратной силы, хотя Парламент может указать в самом акте его ретроспективное действие.</w:t>
      </w:r>
    </w:p>
    <w:p w:rsidR="00BE0BC7" w:rsidRPr="00BE0BC7" w:rsidRDefault="00BE0BC7" w:rsidP="00BE0B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Парламентские акты делятся на два вида: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Публичные, которые содержат </w:t>
      </w:r>
      <w:proofErr w:type="gram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нормы, предназначенные всему государству и определяют</w:t>
      </w:r>
      <w:proofErr w:type="gram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его политику. Так, Конституция Англии состоит из ряда ста (при этом стоит оговориться, что нет четкого разграничения, какие нормы являются конституционными, а какие - нет);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Частные, регулирующие положения конкретной группы граждан или организаций.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Статуты о толковании других статутов дают определения терминов в других источников английской правовой системы. Сюда относят Акты о толковании 1889 и 1978 гг.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Кодифицирующие статуты можно назвать аналогом российских кодексов. Они объединяют как действующие статуты, так и прецеденты. Однако кодифицирующий статут регулирует отдельный институт, а не всю отрасль.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Консолидированные акты объединяют акты парламента, которые содержат общий предмет регулирования без изменения их текстов.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Специальные статуты – акты, которыми отменяются конкретные положения общего права либо дополняющие его. К ним относят и финансовые акты, которые утверждают бюджет страны.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Конституция, состоящая из отдельных статутов, точный перечень которых отсутствует.</w:t>
      </w:r>
    </w:p>
    <w:p w:rsidR="00BE0BC7" w:rsidRPr="00BE0BC7" w:rsidRDefault="00BE0BC7" w:rsidP="00BE0B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lastRenderedPageBreak/>
        <w:t>Все статуты действуют на всей территории Великобритании, за исключением актов о реформах права – они действуют только на территории Англ</w:t>
      </w:r>
      <w:proofErr w:type="gram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ии и Уэ</w:t>
      </w:r>
      <w:proofErr w:type="gram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льса. Одни статуты действуют на всей территории Великобритании, другие - только на территории Англ</w:t>
      </w:r>
      <w:proofErr w:type="gram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ии и Уэ</w:t>
      </w:r>
      <w:proofErr w:type="gram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льса (например, акты о реформах права, большинство процессуальных норм права).</w:t>
      </w:r>
    </w:p>
    <w:p w:rsidR="00BE0BC7" w:rsidRPr="00BE0BC7" w:rsidRDefault="00BE0BC7" w:rsidP="00BE0BC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Иногда статуты принимают с целью не только дополнить действующее законодательство или изменить его, но и для пересмотра судебных решений, которые привели к несправедливому применению законодательства.</w:t>
      </w:r>
    </w:p>
    <w:p w:rsidR="00BE0BC7" w:rsidRPr="00BE0BC7" w:rsidRDefault="00BE0BC7" w:rsidP="00BE0BC7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Помимо статутов в английском праве действуют делегированные акты различных ведомств, которые принимаются в пределах полномочий госорганов. Среди них выделяют: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Приказы Совета, которые считаются высшими подзаконными нормативными актами. Такой приказ принимает правительство от имени королевы, а утверждением занимается Тайный совет;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Постановления;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Инструкции;</w:t>
      </w:r>
    </w:p>
    <w:p w:rsidR="00BE0BC7" w:rsidRPr="00BE0BC7" w:rsidRDefault="00BE0BC7" w:rsidP="00BE0BC7">
      <w:pPr>
        <w:numPr>
          <w:ilvl w:val="1"/>
          <w:numId w:val="2"/>
        </w:numPr>
        <w:shd w:val="clear" w:color="auto" w:fill="FFFFFF"/>
        <w:spacing w:after="120" w:line="360" w:lineRule="atLeast"/>
        <w:ind w:left="0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Предмет регулирования подзаконных нормативных актов – правовые отношения на конкретной территории, на которую их действие распространяется.</w:t>
      </w:r>
    </w:p>
    <w:p w:rsidR="00BE0BC7" w:rsidRPr="00BE0BC7" w:rsidRDefault="00BE0BC7" w:rsidP="00BE0BC7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За принятие постановлений и инструкций отвечает конкретный департамент правительства, которому были переданы соответствующие полномочия.</w:t>
      </w:r>
    </w:p>
    <w:p w:rsidR="00BE0BC7" w:rsidRPr="00BE0BC7" w:rsidRDefault="00BE0BC7" w:rsidP="00BE0BC7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Кроме того, к первичным источникам английского права относят различные международные договора, заключенные в рамках Европейского союза до 1973 года. Более поздние договоры включаются в английскую правовую систему только на основании специальных актов парламента.</w:t>
      </w:r>
    </w:p>
    <w:p w:rsidR="00BE0BC7" w:rsidRDefault="00BE0BC7" w:rsidP="00BE0BC7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Статуты имеют большую юридическую силу, чем прецеденты, и если последние противоречат статуту, то применяется статут. Иногда статут принимают для отмены прецедента, как это было в деле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Burmah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Oil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Co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.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Ltd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.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v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.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Lord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</w:t>
      </w:r>
      <w:proofErr w:type="spellStart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Advocate</w:t>
      </w:r>
      <w:proofErr w:type="spellEnd"/>
      <w:r w:rsidRPr="00BE0BC7">
        <w:rPr>
          <w:rFonts w:ascii="Arial" w:eastAsia="Times New Roman" w:hAnsi="Arial" w:cs="Arial"/>
          <w:color w:val="303030"/>
          <w:sz w:val="19"/>
          <w:szCs w:val="19"/>
          <w:lang w:eastAsia="ru-RU"/>
        </w:rPr>
        <w:t xml:space="preserve"> (1965), когда самолет пострадал в результате военных действий. В результате приняли закон об ущербе во время военных действий, имевший обратную силу.</w:t>
      </w:r>
    </w:p>
    <w:p w:rsidR="00BE0BC7" w:rsidRDefault="00BE0BC7" w:rsidP="00BE0BC7">
      <w:pPr>
        <w:pStyle w:val="2"/>
        <w:shd w:val="clear" w:color="auto" w:fill="FFFFFF"/>
        <w:spacing w:before="192" w:beforeAutospacing="0" w:after="240" w:afterAutospacing="0" w:line="480" w:lineRule="atLeast"/>
        <w:rPr>
          <w:rFonts w:ascii="PT Serif" w:hAnsi="PT Serif"/>
          <w:color w:val="303030"/>
          <w:sz w:val="40"/>
          <w:szCs w:val="40"/>
        </w:rPr>
      </w:pPr>
      <w:r>
        <w:rPr>
          <w:rFonts w:ascii="PT Serif" w:hAnsi="PT Serif"/>
          <w:color w:val="303030"/>
          <w:sz w:val="40"/>
          <w:szCs w:val="40"/>
        </w:rPr>
        <w:t>Суть английского права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Общее право создается судами, их полномочия по созданию законодательных норм закреплены в конституционных актах. Поэтому решения Верховного суда Соединенного Королевства являются судебными решениями вышестоящей инстанции и обязательны для применения нижестоящими судами.</w:t>
      </w:r>
    </w:p>
    <w:p w:rsidR="00BE0BC7" w:rsidRDefault="00BE0BC7" w:rsidP="00BE0BC7">
      <w:pPr>
        <w:pStyle w:val="2"/>
        <w:shd w:val="clear" w:color="auto" w:fill="FFFFFF"/>
        <w:spacing w:before="192" w:beforeAutospacing="0" w:after="240" w:afterAutospacing="0" w:line="480" w:lineRule="atLeast"/>
        <w:rPr>
          <w:rFonts w:ascii="PT Serif" w:hAnsi="PT Serif"/>
          <w:color w:val="303030"/>
          <w:sz w:val="40"/>
          <w:szCs w:val="40"/>
        </w:rPr>
      </w:pPr>
      <w:r>
        <w:rPr>
          <w:rFonts w:ascii="PT Serif" w:hAnsi="PT Serif"/>
          <w:color w:val="303030"/>
          <w:sz w:val="40"/>
          <w:szCs w:val="40"/>
        </w:rPr>
        <w:t>Особенности английского права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Использование английской системы в российских договорах с иностранным элементом дает больше возможностей для бизнеса. Договор можно заключать в устной форме, и это не повлияет на судебное разбирательство, поскольку многие положения закона применяются по умолчанию, даже если таких </w:t>
      </w:r>
      <w:r>
        <w:rPr>
          <w:rFonts w:ascii="Arial" w:hAnsi="Arial" w:cs="Arial"/>
          <w:color w:val="303030"/>
          <w:sz w:val="19"/>
          <w:szCs w:val="19"/>
        </w:rPr>
        <w:lastRenderedPageBreak/>
        <w:t>условий нет в договоре. Если договор заключали в письменной форме путем составления единого документа, то его положения можно дополнять устно.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В отличие от российского законодательства допускается и заключение предварительного договора, но если он не соблюден, то сделка признается недействительной.</w:t>
      </w:r>
    </w:p>
    <w:p w:rsidR="00BE0BC7" w:rsidRDefault="00BE0BC7" w:rsidP="00BE0BC7">
      <w:pPr>
        <w:pStyle w:val="a5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Английское законодательство отличают устоявшиеся правоприменительные доктрины, чем не может похвастаться российская правовая система – у нас отсутствует единая система толкования законов и других актов.</w:t>
      </w:r>
    </w:p>
    <w:p w:rsidR="00BE0BC7" w:rsidRPr="00BE0BC7" w:rsidRDefault="00BE0BC7" w:rsidP="00BE0BC7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</w:p>
    <w:p w:rsidR="00BC2BBB" w:rsidRPr="00BC2BBB" w:rsidRDefault="00BC2BBB" w:rsidP="00BC2BBB"/>
    <w:sectPr w:rsidR="00BC2BBB" w:rsidRPr="00BC2BBB" w:rsidSect="00C9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953"/>
    <w:multiLevelType w:val="multilevel"/>
    <w:tmpl w:val="6FD8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E274D"/>
    <w:multiLevelType w:val="multilevel"/>
    <w:tmpl w:val="065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BB"/>
    <w:rsid w:val="00141A47"/>
    <w:rsid w:val="00157844"/>
    <w:rsid w:val="00A7729C"/>
    <w:rsid w:val="00AF3E01"/>
    <w:rsid w:val="00B94B17"/>
    <w:rsid w:val="00BC2BBB"/>
    <w:rsid w:val="00BE0BC7"/>
    <w:rsid w:val="00C90F20"/>
    <w:rsid w:val="00C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7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94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0BC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B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94B1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94B1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B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10758814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2001-12-31T21:13:00Z</dcterms:created>
  <dcterms:modified xsi:type="dcterms:W3CDTF">2022-06-16T06:47:00Z</dcterms:modified>
</cp:coreProperties>
</file>