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82" w:rsidRPr="00232082" w:rsidRDefault="00232082" w:rsidP="0023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</w:t>
      </w:r>
      <w:r w:rsidRPr="00232082">
        <w:rPr>
          <w:rFonts w:ascii="Times New Roman" w:hAnsi="Times New Roman" w:cs="Times New Roman"/>
          <w:b/>
          <w:sz w:val="28"/>
          <w:szCs w:val="28"/>
        </w:rPr>
        <w:t>:</w:t>
      </w:r>
    </w:p>
    <w:p w:rsidR="004F66F3" w:rsidRDefault="00377EE4" w:rsidP="002320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082">
        <w:rPr>
          <w:rFonts w:ascii="Times New Roman" w:hAnsi="Times New Roman" w:cs="Times New Roman"/>
          <w:b/>
          <w:sz w:val="28"/>
          <w:szCs w:val="28"/>
          <w:u w:val="single"/>
        </w:rPr>
        <w:t>Обычаи делового оборота в практике внешнеторговых контрактов.</w:t>
      </w:r>
    </w:p>
    <w:p w:rsidR="00232082" w:rsidRDefault="00232082" w:rsidP="0023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82">
        <w:rPr>
          <w:rFonts w:ascii="Times New Roman" w:hAnsi="Times New Roman" w:cs="Times New Roman"/>
          <w:b/>
          <w:sz w:val="28"/>
          <w:szCs w:val="28"/>
        </w:rPr>
        <w:t xml:space="preserve">Выполнил </w:t>
      </w:r>
      <w:r>
        <w:rPr>
          <w:rFonts w:ascii="Times New Roman" w:hAnsi="Times New Roman" w:cs="Times New Roman"/>
          <w:b/>
          <w:sz w:val="28"/>
          <w:szCs w:val="28"/>
        </w:rPr>
        <w:t>студент 4 курса Задорожный С.Д</w:t>
      </w:r>
    </w:p>
    <w:p w:rsidR="00232082" w:rsidRPr="00232082" w:rsidRDefault="00232082" w:rsidP="0023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82">
        <w:rPr>
          <w:rFonts w:ascii="Times New Roman" w:hAnsi="Times New Roman" w:cs="Times New Roman"/>
          <w:b/>
          <w:sz w:val="28"/>
          <w:szCs w:val="28"/>
        </w:rPr>
        <w:t>группа ЮТЛ-416.</w:t>
      </w:r>
      <w:bookmarkStart w:id="0" w:name="_GoBack"/>
      <w:bookmarkEnd w:id="0"/>
    </w:p>
    <w:p w:rsidR="00377EE4" w:rsidRDefault="00377EE4" w:rsidP="00377EE4">
      <w:pPr>
        <w:rPr>
          <w:rFonts w:ascii="Times New Roman" w:hAnsi="Times New Roman" w:cs="Times New Roman"/>
          <w:b/>
          <w:sz w:val="28"/>
          <w:szCs w:val="28"/>
        </w:rPr>
      </w:pPr>
    </w:p>
    <w:p w:rsidR="00377EE4" w:rsidRDefault="00377EE4" w:rsidP="00377EE4">
      <w:pPr>
        <w:rPr>
          <w:rFonts w:ascii="Times New Roman" w:hAnsi="Times New Roman" w:cs="Times New Roman"/>
          <w:b/>
          <w:sz w:val="28"/>
          <w:szCs w:val="28"/>
        </w:rPr>
      </w:pPr>
    </w:p>
    <w:p w:rsidR="00377EE4" w:rsidRPr="00377EE4" w:rsidRDefault="00377EE4" w:rsidP="00377EE4">
      <w:pPr>
        <w:rPr>
          <w:rFonts w:ascii="Times New Roman" w:hAnsi="Times New Roman" w:cs="Times New Roman"/>
          <w:sz w:val="28"/>
          <w:szCs w:val="28"/>
        </w:rPr>
      </w:pPr>
      <w:r w:rsidRPr="00377EE4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7EE4">
        <w:rPr>
          <w:rFonts w:ascii="Times New Roman" w:hAnsi="Times New Roman" w:cs="Times New Roman"/>
          <w:sz w:val="28"/>
          <w:szCs w:val="28"/>
        </w:rPr>
        <w:t>О</w:t>
      </w:r>
      <w:r w:rsidRPr="0037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бычаем делового оборота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документе. (ст.5 ГК РФ) </w:t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Обычай делового оборота как «правило поведения» определяется следующим: </w:t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это правило не предусмотрено ни законодательством, ни договором; </w:t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оно сложилось, т. е. стало достаточно определенным в своем содержании; </w:t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данное правило широко применяется; </w:t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правило применяется в какой-либо области предпринимательской деятельности.</w:t>
      </w:r>
    </w:p>
    <w:p w:rsidR="00F43789" w:rsidRDefault="00F43789" w:rsidP="00F437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3789" w:rsidRPr="000046B6" w:rsidRDefault="00F43789" w:rsidP="00F4378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6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Основная часть</w:t>
      </w:r>
      <w:r w:rsidRPr="00F4378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Обычаи делового оборота необязательно должны быть зафиксированы в письменном виде. Национальные торгово- промышленные палаты изучают существующие обычаи и публикуют их для сведения заинтересованных лиц. В Российской Федерации были опубликованы обычаи морских портов (например, Свод обычаев Мурманского торгового порта) и обычаи в области внешней торговли. В соответствии со ст. 15 Закона РФ от 7 июля 1993 г. № 5340-1 «О торгово-промышленных палатах в Российской Федерации» ТПП свидетельствуют наличие торговых и портовых обычаев, принятых в Российской Федерации, и могут давать заключение по этому вопросу. Письменным подтверждением обычая могут быть условия публикуемых примерных договоров (п. 2 ст. 427 ГК РФ).</w:t>
      </w:r>
    </w:p>
    <w:p w:rsidR="00F43789" w:rsidRPr="000046B6" w:rsidRDefault="00F43789" w:rsidP="00F437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 статей ГК РФ содержат прямые ссылки на обычаи делового оборота, если отношения сторон не определены нормами законодательства и условиями договора. Такие отсылки имеются в гл. 30 «Купля-продажа» (в ст. 474, 478, 508, 510, 513). Например, согласно п. 2 ст. 478 в случае, когда </w:t>
      </w: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договором купли-продажи не определена комплектность товара, продавец обязан передать покупателю товар, комплектность которого определяется обычаями делового оборота или иными обычно предъявляемыми требованиями.</w:t>
      </w:r>
    </w:p>
    <w:p w:rsidR="00F43789" w:rsidRPr="000046B6" w:rsidRDefault="00F43789" w:rsidP="00F437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договоре использованы принятые в международном обороте торговые термины, при отсутствии в нем иных указаний считается, что сторонами согласовано применение к их отношениям обычаев делового оборота, обозначаемых соответствующими торговыми терминами. Это правило, содержащееся в п. 11 ст. 1211 ГК РФ, отражает особенности договорных отношений, возникающих в процессе осуществления международной торговли. При заключении договоров в международной коммерческой практике стороны часто ссылаются на принятые в международном обороте торговые термины, </w:t>
      </w:r>
      <w:proofErr w:type="gram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«свободно (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франко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борт судна», «свободно (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франко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граница», и используют аббревиатуру таких терминов, как «ФОБ», «СИФ» и др. Эти термины обозначают определенный комплекс договорных условий, касающихся основных прав и обязанностей сторон по исполнению договора, которые часто называются базисными условиями договора. Они охватывают распределение между продавцом и покупателем обязанностей по доставке товара, несению расходов по исполнению некоторых обязательств, регулируют переход с продавца на покупателя риска случайной гибели или порчи товара. Ссылка на эти термины значительно упрощает заключение торговых сделок.</w:t>
      </w:r>
    </w:p>
    <w:p w:rsidR="00F43789" w:rsidRPr="000046B6" w:rsidRDefault="00F43789" w:rsidP="00F437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в сфере международных экономических отношений имеет деятельность Международной торговой палаты (МТП). Первым документом, разработанным МТП, являются Правила толкования международных торговых терминов (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Инкотермс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Инкотермс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результат многолетнего обобщения международной коммерческой практики по толкованию условий контракта, которые определяют базис поставки. Первая редакция было принята в 1936 г. Последующие изменения и дополнения вносились в 1953, 1967, 1976, 1980, 1990, 2000 и 2010 гг. В настоящее время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Инкотермс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действуют в редакции 2010 г. За положениями, содержащимися в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Инкотермс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признается сила международных торговых обычаев1. 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Инкотермс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13 торговых терминов, включающих толкование такого же количества базисных условий поставки.</w:t>
      </w:r>
    </w:p>
    <w:p w:rsidR="00232082" w:rsidRDefault="000046B6" w:rsidP="00F437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Термины ИНКОТЕРМС - это типы договоров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-й купли-продажи, основанные на фиксированном распределении прав и обязанностей между торговыми партнерами. По каждому типу договоров фиксируются: права и </w:t>
      </w: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обязанности сторон, связанные с перевозкой товаров, включая распределение дополнительных расходов, которые могут возникнуть в процессе перевозки; права и обязанности сторон по осуществлению &lt;таможенных формальностей&gt;, связанных с вывозом товара с территории одного государства и с ввозом его на территорию другого государства и транзитом через третьи страны, включая уплату таможенных сборов и других обязательных платежей; момент перехода рисков с продавца на покупателя в случае гибели или повреждения товаров. 13 толкуемых терминов (типов договоров) разделены на 4 группы: </w:t>
      </w:r>
    </w:p>
    <w:p w:rsidR="000046B6" w:rsidRPr="000046B6" w:rsidRDefault="000046B6" w:rsidP="00F437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1.Термины группы (продавец предоставляет товары покупателю в своем коммерческом предприятии). 2.Термины группы (продавец обязан предоставить товары в распоряжение перевозчика, обеспечиваемого покупателем). 3. Термины группы (продавец обязан заключить договор перевозки и отправить товар в адрес покупателя, не принимая на себя рисков, связанных с возможной гибелью или повреждением товара). 4.Термины группы (продавец несет все расходы и все риски до момента доставки товара в страну назначения). </w:t>
      </w:r>
    </w:p>
    <w:p w:rsidR="000046B6" w:rsidRPr="00377EE4" w:rsidRDefault="000046B6" w:rsidP="00F43789">
      <w:pPr>
        <w:rPr>
          <w:rFonts w:ascii="Times New Roman" w:hAnsi="Times New Roman" w:cs="Times New Roman"/>
          <w:sz w:val="28"/>
          <w:szCs w:val="28"/>
        </w:rPr>
      </w:pPr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межд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-х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коммерч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. Дог-в (Принципы УНИДРУА) содержат принципы, которые являются общими для всех правовых систем (общими принципами права) и наиболее приспособленными к особым потребностям международных коммерческих сделок. Принципы могут применяться: для регулирования отношений сторон по внешнеэкономической сделке, когда стороны на них сослались; в качестве доказательства всеобщей практики, когда невозможно установить применимое право, или когда избранное право не содержит ответа на искомый вопрос; для толкования и восполнения положений международных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унификационных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 актов в области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межд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-ой торговли; могут быть использованы в процессе развития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национ-го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 права или в процессе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межд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>-й унификации.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  <w:t>Ст. 9 данной Конвенции предусматривает следующее: стороны связаны любым обычаем, относительно которого они договорились, и практикой, которую они установили в своих взаимных отношениях; при отсутствии договоренности об ином считается, что стороны подразумевали применение к договору или его заключению обычая, о котором они знали или должны были знать и который в международной торговле широко известен и постоянно соблюдается сторонами в договорах данного рода в соответствующей области торговли. Обычаи делового оборота в сфере внешнеэкономических связей в ряде случаев толкуются международными неправительственными организациями, Примером могут служить разработанные Международной торговой палатой Международные правила толкования торговых терминов - «ИНКО-ТЕРМС» (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International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Commercial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lastRenderedPageBreak/>
        <w:t>TERMS 1990) Они охватывают широкий круг вопросов, в том числе и различие условий поставок при оговорке СИФ и оговорке франко-вагон. Стороны при заключении договора могут распространять действие этих правил на свои отношения.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Проблема обратной отсылки возникла перед судами ряда государств во второй половине XIX в. Эта проблема первоначально возникла в судебной практике Франции. Академик В.М. Корецкий, отметил, что проблема обратной отсылки похожа на настольный теннис или сказку про белого бычка. Таким образом, эта проблема возникает в случаях, когда отечественное право отсылает к иностранному праву, а из коллизионных норм последнего вытекает необходимость обращения вновь к отечественному праву или к праву третьей страны. В пользу принятия обратной отсылки приводят обычно довод о том, что сама идея коллизионного метода регулирования состоит в выборе правовой системы, с которой данное правоотношение имеет наиболее тесную связь. Поэтому следует использовать не только ее материальные, но и коллизионные нормы. Позднее стали приводить и довод чисто практического порядка: принятие обратной отсылки ведет к сокращению случаев вынесения судами решений на основе иностранного права, что значительно упрощает их работу по рассмотрению споров. Отсылку к праву другой страны следует </w:t>
      </w:r>
      <w:proofErr w:type="gram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proofErr w:type="gram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 как отсылку исключительно к материально-правовым нормам другой страны, а не к ее коллизионным нормам. В нашей стране отрицательное отношение к применению обратной отсылки было выражено прежде всего в отношении применения права к внешнеторговым сделкам в практике международного коммерческого арбитражного суда. В российском гражданском законодательстве вопрос об обратной отсылке впервые был решен в третьей части ГК РФ (ст. 1190). Общее правило неприменения обратной отсылки и отсылки к закону третьей страны установлено не только в отношении договоров. Согласно этому правилу любая отсылка к иностранному праву должна пониматься как отсылка к материальному праву, а не к коллизионному праву соответствующей страны. Хотя коллизионные нормы, включенные в разд. VI третьей части ГК РФ, предусматривают отсылку не к конкретному, изолированному предписанию иностранного права, а к иностранной правовой системе в целом, однако в эту систему не включаются коллизионные нормы (нормы международного частного права) соответствующей страны. Применению подлежат лишь материальное право, материально-правовые нормы соответствующей страны.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Искл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. Из правила ст.1190: когда нормы иностранного права отсылают конкретно к российскому праву, а не к праву какой-то третьей страны. </w:t>
      </w:r>
      <w:proofErr w:type="spellStart"/>
      <w:r w:rsidRPr="000046B6">
        <w:rPr>
          <w:rFonts w:ascii="Times New Roman" w:hAnsi="Times New Roman" w:cs="Times New Roman"/>
          <w:color w:val="000000"/>
          <w:sz w:val="28"/>
          <w:szCs w:val="28"/>
        </w:rPr>
        <w:t>Т.о</w:t>
      </w:r>
      <w:proofErr w:type="spellEnd"/>
      <w:r w:rsidRPr="000046B6">
        <w:rPr>
          <w:rFonts w:ascii="Times New Roman" w:hAnsi="Times New Roman" w:cs="Times New Roman"/>
          <w:color w:val="000000"/>
          <w:sz w:val="28"/>
          <w:szCs w:val="28"/>
        </w:rPr>
        <w:t xml:space="preserve">., отсылка к праву третьей страны в соответствии с рассматриваемой нормой вообще не допускается.; при отсылке к российскому праву конкретно устанавливается, 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обратная отсылка может применяться в случаях отсылки к положениям, определяющим правовое положение физического лица.</w:t>
      </w:r>
      <w:r w:rsidRPr="000046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0046B6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46B6">
        <w:rPr>
          <w:rFonts w:ascii="Times New Roman" w:hAnsi="Times New Roman" w:cs="Times New Roman"/>
          <w:sz w:val="28"/>
          <w:szCs w:val="28"/>
        </w:rPr>
        <w:t>Обычаи делового оборота в практике внешнеторговых контрактов</w:t>
      </w:r>
      <w:r>
        <w:rPr>
          <w:rFonts w:ascii="Times New Roman" w:hAnsi="Times New Roman" w:cs="Times New Roman"/>
          <w:sz w:val="28"/>
          <w:szCs w:val="28"/>
        </w:rPr>
        <w:t>, применяются крайне часто, и так же можно встретить в судебной практике. В сделках внешнеторговых контрактов очень много нюансов, которым надо следовать и придерживаться, что бы сделка прошла успешн</w:t>
      </w:r>
      <w:r w:rsidR="003E1A00">
        <w:rPr>
          <w:rFonts w:ascii="Times New Roman" w:hAnsi="Times New Roman" w:cs="Times New Roman"/>
          <w:sz w:val="28"/>
          <w:szCs w:val="28"/>
        </w:rPr>
        <w:t>о и без судебных</w:t>
      </w:r>
      <w:r>
        <w:rPr>
          <w:rFonts w:ascii="Times New Roman" w:hAnsi="Times New Roman" w:cs="Times New Roman"/>
          <w:sz w:val="28"/>
          <w:szCs w:val="28"/>
        </w:rPr>
        <w:t xml:space="preserve"> разбирательств</w:t>
      </w:r>
      <w:r w:rsidR="003E1A00">
        <w:rPr>
          <w:rFonts w:ascii="Times New Roman" w:hAnsi="Times New Roman" w:cs="Times New Roman"/>
          <w:sz w:val="28"/>
          <w:szCs w:val="28"/>
        </w:rPr>
        <w:t>.</w:t>
      </w:r>
    </w:p>
    <w:sectPr w:rsidR="000046B6" w:rsidRPr="0037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E5"/>
    <w:rsid w:val="000046B6"/>
    <w:rsid w:val="00063AC7"/>
    <w:rsid w:val="00232082"/>
    <w:rsid w:val="00377EE4"/>
    <w:rsid w:val="003E1A00"/>
    <w:rsid w:val="004F66F3"/>
    <w:rsid w:val="00C339E5"/>
    <w:rsid w:val="00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CDAB"/>
  <w15:chartTrackingRefBased/>
  <w15:docId w15:val="{4552D804-6324-400D-86AA-F8990A4E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2021-03-03T16:38:00Z</dcterms:created>
  <dcterms:modified xsi:type="dcterms:W3CDTF">2021-03-15T13:01:00Z</dcterms:modified>
</cp:coreProperties>
</file>