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A195" w14:textId="342FBCF0" w:rsidR="001250CA" w:rsidRPr="001250CA" w:rsidRDefault="00917E3B" w:rsidP="001250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 </w:t>
      </w:r>
      <w:proofErr w:type="spellStart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арбитрабельности</w:t>
      </w:r>
      <w:proofErr w:type="spellEnd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(Понятие </w:t>
      </w:r>
      <w:proofErr w:type="spellStart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арбитрабельности</w:t>
      </w:r>
      <w:proofErr w:type="spellEnd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способы ее определения; Объективная </w:t>
      </w:r>
      <w:proofErr w:type="spellStart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; Субъективная </w:t>
      </w:r>
      <w:proofErr w:type="spellStart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5BA7BC4C" w14:textId="0899EB3D" w:rsidR="001250CA" w:rsidRPr="001250CA" w:rsidRDefault="001250CA" w:rsidP="001250CA">
      <w:pPr>
        <w:jc w:val="both"/>
        <w:rPr>
          <w:rFonts w:ascii="Times New Roman" w:hAnsi="Times New Roman" w:cs="Times New Roman"/>
          <w:sz w:val="28"/>
          <w:szCs w:val="28"/>
        </w:rPr>
      </w:pPr>
      <w:r w:rsidRPr="001250CA">
        <w:rPr>
          <w:rFonts w:ascii="Times New Roman" w:hAnsi="Times New Roman" w:cs="Times New Roman"/>
          <w:sz w:val="28"/>
          <w:szCs w:val="28"/>
        </w:rPr>
        <w:t xml:space="preserve">Все многообразие определений 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 xml:space="preserve"> в отечественной и зарубежной доктрине свидетельствует как о неоднозначности самого явления, так и о разности подходов к его пониманию. В отечественной доктрине принято исходить из определения 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 xml:space="preserve"> споров, а не 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inarbitrability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неарбитрабельности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 xml:space="preserve">) споров, как в зарубежной доктрине. Также следует отметить, что доктрина 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неарбитрабельности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 xml:space="preserve"> споров подвергалась отдельной критике и признавалась неактуальной. Возвращаясь к определению 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 xml:space="preserve">, следует рассмотреть различные варианты, предложенные отечественными исследователями. </w:t>
      </w:r>
    </w:p>
    <w:p w14:paraId="0F5F8AD8" w14:textId="4CEF9FED" w:rsidR="001250CA" w:rsidRDefault="001250CA" w:rsidP="001250CA">
      <w:pPr>
        <w:jc w:val="both"/>
        <w:rPr>
          <w:rFonts w:ascii="Times New Roman" w:hAnsi="Times New Roman" w:cs="Times New Roman"/>
          <w:sz w:val="28"/>
          <w:szCs w:val="28"/>
        </w:rPr>
      </w:pPr>
      <w:r w:rsidRPr="001250CA">
        <w:rPr>
          <w:rFonts w:ascii="Times New Roman" w:hAnsi="Times New Roman" w:cs="Times New Roman"/>
          <w:sz w:val="28"/>
          <w:szCs w:val="28"/>
        </w:rPr>
        <w:t xml:space="preserve">Так, О. Ю. Скворцов определяет 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 xml:space="preserve"> как свойство спора, которое позволяет ему быть предметом третейского разбирательства. А. И. Минина дает крайне расплывчатое определение </w:t>
      </w:r>
      <w:proofErr w:type="spellStart"/>
      <w:r w:rsidRPr="001250CA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1250CA">
        <w:rPr>
          <w:rFonts w:ascii="Times New Roman" w:hAnsi="Times New Roman" w:cs="Times New Roman"/>
          <w:sz w:val="28"/>
          <w:szCs w:val="28"/>
        </w:rPr>
        <w:t>, определяя ее как неотъемлемую границу между частным и публичным правосудием, основу воплощения права на арбитраж в жизнь.</w:t>
      </w:r>
    </w:p>
    <w:p w14:paraId="41AA8260" w14:textId="2F8468F8" w:rsidR="00917E3B" w:rsidRDefault="001250CA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="00917E3B" w:rsidRPr="00917E3B">
        <w:rPr>
          <w:rFonts w:ascii="Times New Roman" w:hAnsi="Times New Roman" w:cs="Times New Roman"/>
          <w:sz w:val="28"/>
          <w:szCs w:val="28"/>
        </w:rPr>
        <w:t>ногие авторы указывают, что термин «</w:t>
      </w:r>
      <w:proofErr w:type="spellStart"/>
      <w:r w:rsidR="00917E3B" w:rsidRPr="00917E3B">
        <w:rPr>
          <w:rFonts w:ascii="Times New Roman" w:hAnsi="Times New Roman" w:cs="Times New Roman"/>
          <w:sz w:val="28"/>
          <w:szCs w:val="28"/>
        </w:rPr>
        <w:t>арбитрабильность</w:t>
      </w:r>
      <w:proofErr w:type="spellEnd"/>
      <w:r w:rsidR="00917E3B" w:rsidRPr="00917E3B">
        <w:rPr>
          <w:rFonts w:ascii="Times New Roman" w:hAnsi="Times New Roman" w:cs="Times New Roman"/>
          <w:sz w:val="28"/>
          <w:szCs w:val="28"/>
        </w:rPr>
        <w:t>» (именно в таком написании) был введен в отечественный оборот С. Н. Лебедевым в книге «Международное сотрудничество в области коммерческого арбитража» в 1979 г.</w:t>
      </w:r>
      <w:r w:rsidR="000A5920">
        <w:rPr>
          <w:rFonts w:ascii="Times New Roman" w:hAnsi="Times New Roman" w:cs="Times New Roman"/>
          <w:sz w:val="28"/>
          <w:szCs w:val="28"/>
        </w:rPr>
        <w:t xml:space="preserve"> </w:t>
      </w:r>
      <w:r w:rsidR="00917E3B" w:rsidRPr="00917E3B">
        <w:rPr>
          <w:rFonts w:ascii="Times New Roman" w:hAnsi="Times New Roman" w:cs="Times New Roman"/>
          <w:sz w:val="28"/>
          <w:szCs w:val="28"/>
        </w:rPr>
        <w:t>Однако подтверждения этот факт при изучении указанного источника не нашел. Данный термин встречается в работе С. Н. Лебедева «Международный коммерческий арбитраж: компетенция арбитров и соглашение сторон» (М., 1988), как и «</w:t>
      </w:r>
      <w:proofErr w:type="spellStart"/>
      <w:r w:rsidR="00917E3B" w:rsidRPr="00917E3B">
        <w:rPr>
          <w:rFonts w:ascii="Times New Roman" w:hAnsi="Times New Roman" w:cs="Times New Roman"/>
          <w:sz w:val="28"/>
          <w:szCs w:val="28"/>
        </w:rPr>
        <w:t>неарбитрабильность</w:t>
      </w:r>
      <w:proofErr w:type="spellEnd"/>
      <w:r w:rsidR="00917E3B" w:rsidRPr="00917E3B">
        <w:rPr>
          <w:rFonts w:ascii="Times New Roman" w:hAnsi="Times New Roman" w:cs="Times New Roman"/>
          <w:sz w:val="28"/>
          <w:szCs w:val="28"/>
        </w:rPr>
        <w:t xml:space="preserve">», в отношении французской судебной практики. С. Н. Лебедев указывает, что в литературе предметная компетенция институционного арбитража трактуется иногда в термине «относительная </w:t>
      </w:r>
      <w:proofErr w:type="spellStart"/>
      <w:r w:rsidR="00917E3B" w:rsidRPr="00917E3B">
        <w:rPr>
          <w:rFonts w:ascii="Times New Roman" w:hAnsi="Times New Roman" w:cs="Times New Roman"/>
          <w:sz w:val="28"/>
          <w:szCs w:val="28"/>
        </w:rPr>
        <w:t>арбитрабильность</w:t>
      </w:r>
      <w:proofErr w:type="spellEnd"/>
      <w:r w:rsidR="00917E3B" w:rsidRPr="00917E3B">
        <w:rPr>
          <w:rFonts w:ascii="Times New Roman" w:hAnsi="Times New Roman" w:cs="Times New Roman"/>
          <w:sz w:val="28"/>
          <w:szCs w:val="28"/>
        </w:rPr>
        <w:t xml:space="preserve">», в отличие от «общей </w:t>
      </w:r>
      <w:proofErr w:type="spellStart"/>
      <w:r w:rsidR="00917E3B" w:rsidRPr="00917E3B">
        <w:rPr>
          <w:rFonts w:ascii="Times New Roman" w:hAnsi="Times New Roman" w:cs="Times New Roman"/>
          <w:sz w:val="28"/>
          <w:szCs w:val="28"/>
        </w:rPr>
        <w:t>арбитрабильности</w:t>
      </w:r>
      <w:proofErr w:type="spellEnd"/>
      <w:r w:rsidR="00917E3B" w:rsidRPr="00917E3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917E3B" w:rsidRPr="00917E3B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917E3B" w:rsidRPr="00917E3B">
        <w:rPr>
          <w:rFonts w:ascii="Times New Roman" w:hAnsi="Times New Roman" w:cs="Times New Roman"/>
          <w:sz w:val="28"/>
          <w:szCs w:val="28"/>
        </w:rPr>
        <w:t xml:space="preserve"> допустимости по закону передачи данного рода споров в арбитраж вообще — будь то арбитраж </w:t>
      </w:r>
      <w:proofErr w:type="spellStart"/>
      <w:r w:rsidR="00917E3B" w:rsidRPr="00917E3B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917E3B"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3B" w:rsidRPr="00917E3B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="00917E3B" w:rsidRPr="00917E3B">
        <w:rPr>
          <w:rFonts w:ascii="Times New Roman" w:hAnsi="Times New Roman" w:cs="Times New Roman"/>
          <w:sz w:val="28"/>
          <w:szCs w:val="28"/>
        </w:rPr>
        <w:t xml:space="preserve"> или институционный.</w:t>
      </w:r>
    </w:p>
    <w:p w14:paraId="6586D079" w14:textId="394E0669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>Например, С. Н. Лебедев, как уже отмечалось, использовал вариант написания через «и», то есть «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арбитрабильность</w:t>
      </w:r>
      <w:proofErr w:type="spellEnd"/>
      <w:r w:rsidR="000A5920">
        <w:rPr>
          <w:rFonts w:ascii="Times New Roman" w:hAnsi="Times New Roman" w:cs="Times New Roman"/>
          <w:sz w:val="28"/>
          <w:szCs w:val="28"/>
        </w:rPr>
        <w:t>»</w:t>
      </w:r>
      <w:r w:rsidRPr="00917E3B">
        <w:rPr>
          <w:rFonts w:ascii="Times New Roman" w:hAnsi="Times New Roman" w:cs="Times New Roman"/>
          <w:sz w:val="28"/>
          <w:szCs w:val="28"/>
        </w:rPr>
        <w:t xml:space="preserve">. Однако указанный спор не может сущностно повлиять на применение термина. Поэтому </w:t>
      </w:r>
      <w:r w:rsidR="001250CA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917E3B">
        <w:rPr>
          <w:rFonts w:ascii="Times New Roman" w:hAnsi="Times New Roman" w:cs="Times New Roman"/>
          <w:sz w:val="28"/>
          <w:szCs w:val="28"/>
        </w:rPr>
        <w:t xml:space="preserve">, что он не имеет принципиального значения. </w:t>
      </w:r>
    </w:p>
    <w:p w14:paraId="02E988FC" w14:textId="6F434041" w:rsidR="005725E9" w:rsidRPr="005725E9" w:rsidRDefault="005725E9" w:rsidP="005725E9">
      <w:pPr>
        <w:jc w:val="both"/>
        <w:rPr>
          <w:rFonts w:ascii="Times New Roman" w:hAnsi="Times New Roman" w:cs="Times New Roman"/>
          <w:sz w:val="28"/>
          <w:szCs w:val="28"/>
        </w:rPr>
      </w:pPr>
      <w:r w:rsidRPr="005725E9">
        <w:rPr>
          <w:rFonts w:ascii="Times New Roman" w:hAnsi="Times New Roman" w:cs="Times New Roman"/>
          <w:sz w:val="28"/>
          <w:szCs w:val="28"/>
        </w:rPr>
        <w:t xml:space="preserve">В зарубежной доктрине принято выделять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в широком и узком смыслах, а также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внутренних и международных споров. В широком смысле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включает в себя вопросы действительности и существования арбитражного соглашения. В узком смысле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— это категории споров, которые могут передаваться в арбитраж. Г. В. Севастьянов подвергает критике узкий подход </w:t>
      </w:r>
      <w:r w:rsidRPr="005725E9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>, указывая, что такого подхода недостаточно для уяснения специфики возникновения правоприменительных полномочий.</w:t>
      </w:r>
    </w:p>
    <w:p w14:paraId="5438E624" w14:textId="604944C9" w:rsidR="005725E9" w:rsidRPr="005725E9" w:rsidRDefault="005725E9" w:rsidP="005725E9">
      <w:pPr>
        <w:jc w:val="both"/>
        <w:rPr>
          <w:rFonts w:ascii="Times New Roman" w:hAnsi="Times New Roman" w:cs="Times New Roman"/>
          <w:sz w:val="28"/>
          <w:szCs w:val="28"/>
        </w:rPr>
      </w:pPr>
      <w:r w:rsidRPr="005725E9">
        <w:rPr>
          <w:rFonts w:ascii="Times New Roman" w:hAnsi="Times New Roman" w:cs="Times New Roman"/>
          <w:sz w:val="28"/>
          <w:szCs w:val="28"/>
        </w:rPr>
        <w:t xml:space="preserve">Определяя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в узком смысле, Г. В. Севастьянов указывает, что это круг споров о праве, рассмотрение которых отнесено законодательством к компетенции третейских судов, разрешающих споры в сфере «внутреннего» третейского разбирательства, либо международного коммерческого арбитража. В широком смысле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понимается как возникновение права третейского суда (или полномочий состава арбитров) на рассмотрение спорного правоотношения (разрешения спора), в отношении которого стороны заключили действительное третейское соглашение.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является, с одной стороны, вопрос о том, может ли спор быть предметом арбитража, что в некотором смысле относится к возможностям сторон, а с другой стороны, может ли требование являться подходящим предметом арбитража, которое вытекает из ограничений свободы договора по причинам государственной политики.</w:t>
      </w:r>
    </w:p>
    <w:p w14:paraId="4D7BA742" w14:textId="3CD4BC62" w:rsidR="005725E9" w:rsidRDefault="005725E9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57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можно рассматривать как свойство гражданско-правового спора, который может быть рассмотрен третейским судом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725E9">
        <w:rPr>
          <w:rFonts w:ascii="Times New Roman" w:hAnsi="Times New Roman" w:cs="Times New Roman"/>
          <w:sz w:val="28"/>
          <w:szCs w:val="28"/>
        </w:rPr>
        <w:t xml:space="preserve">ак как отечественное законодательство использует понятие «арбитраж», можно предположить возможность включения в научный оборот русифицированного варианта 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арбитрабильности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>) — «</w:t>
      </w:r>
      <w:proofErr w:type="spellStart"/>
      <w:r w:rsidRPr="005725E9">
        <w:rPr>
          <w:rFonts w:ascii="Times New Roman" w:hAnsi="Times New Roman" w:cs="Times New Roman"/>
          <w:sz w:val="28"/>
          <w:szCs w:val="28"/>
        </w:rPr>
        <w:t>арбитражности</w:t>
      </w:r>
      <w:proofErr w:type="spellEnd"/>
      <w:r w:rsidRPr="005725E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F420047" w14:textId="166C22B1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Как указывается в юридическом словаре Блэка,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как термин впервые упоминается в 1910 г., имеет два ключевых значения и может быть подразделена на два вида: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procedural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arbitrability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(процессуальная/ процедурная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substantive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arbitrability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(материальная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A151C14" w14:textId="77777777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В словаре Блэка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определена как: </w:t>
      </w:r>
    </w:p>
    <w:p w14:paraId="2648168C" w14:textId="77777777" w:rsidR="00917E3B" w:rsidRDefault="00917E3B" w:rsidP="000A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статус в соответствии с применимым правом о том, что споры были или не были разрешены арбитрами из-за предмета (существа разбирательства); </w:t>
      </w:r>
    </w:p>
    <w:p w14:paraId="2A457CA7" w14:textId="4A392AAA" w:rsidR="00917E3B" w:rsidRPr="00917E3B" w:rsidRDefault="00917E3B" w:rsidP="000A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 статус спора, находящегося или не находящегося в компетенции арбитра разрешать на основе того, пришли ли стороны к принудительному соглашению об арбитраже, является ли спор предметом арбитражного соглашения, были ли какие-либо процессуальные предпосылки для арбитража удовлетворены и разрешает ли применимое право арбитрам разрешать предмет спора.</w:t>
      </w:r>
    </w:p>
    <w:p w14:paraId="747CEB4B" w14:textId="69DE94B1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>Существует также термин, сходный по значению: «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arbitrable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suitable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arbitration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» (дословно: «подходящий или подлежащий арбитражу»).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«сводится к определению категорий споров, которые могут </w:t>
      </w:r>
      <w:r w:rsidRPr="00917E3B">
        <w:rPr>
          <w:rFonts w:ascii="Times New Roman" w:hAnsi="Times New Roman" w:cs="Times New Roman"/>
          <w:sz w:val="28"/>
          <w:szCs w:val="28"/>
        </w:rPr>
        <w:lastRenderedPageBreak/>
        <w:t xml:space="preserve">быть разрешены посредством арбитража, и категорий, которые относятся к исключительной компетенции судов». </w:t>
      </w:r>
    </w:p>
    <w:p w14:paraId="6AB83AF1" w14:textId="77777777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В зарубежной доктрине под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понимается в некотором смысле ограничитель, «водораздел». Так,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определяется точка, в которой осуществление свободы договора заканчивается и начинается публичная миссия по разрешению дела. По сути,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устанавливает разделительную черту между идеей, проходящей красной линией через частные права, и ролью судов как хранителей и толкователей публичного интереса. </w:t>
      </w:r>
    </w:p>
    <w:p w14:paraId="4A4BE186" w14:textId="44B7F6E3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gramStart"/>
      <w:r w:rsidRPr="00917E3B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Pr="00917E3B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является одной из проблем, когда сталкиваются договорная и юрисдикционная природа международного коммерческого арбитража. То есть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сужается до международного коммерческого арбитража и не охватывает третейское разбирательство по внутренним спорам. В трудах по международному коммерческому арбитражу прямого определения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не дается.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Fouchard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Gaillard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и Goldman разбирают субъективную и объективную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="00A71B55">
        <w:rPr>
          <w:rFonts w:ascii="Times New Roman" w:hAnsi="Times New Roman" w:cs="Times New Roman"/>
          <w:sz w:val="28"/>
          <w:szCs w:val="28"/>
        </w:rPr>
        <w:t>.</w:t>
      </w:r>
    </w:p>
    <w:p w14:paraId="24CADE94" w14:textId="2406002A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Эти авторы под субъективной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понимают право государственных субъектов (в широком смысле) передавать свои споры в арбитраж. Следует отметить, что в отечественных работах субъективную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понимают более широко — как способность лица быть субъектом арбитражного соглашения или </w:t>
      </w:r>
      <w:proofErr w:type="gramStart"/>
      <w:r w:rsidRPr="00917E3B"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 w:rsidRPr="00917E3B">
        <w:rPr>
          <w:rFonts w:ascii="Times New Roman" w:hAnsi="Times New Roman" w:cs="Times New Roman"/>
          <w:sz w:val="28"/>
          <w:szCs w:val="28"/>
        </w:rPr>
        <w:t xml:space="preserve"> как производную от субъектного состава участников дела допустимость передачи спора на рассмотрение третейского суда. Авторы не дают прямого определения объективной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, однако указывают, что ее суть лежит в плоскости определения пределов, не допускающих отнесения тех или иных споров на рассмотрение арбитров в рамках третейского разбирательства, например спора об отцовстве. </w:t>
      </w:r>
    </w:p>
    <w:p w14:paraId="3A3BF932" w14:textId="77777777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В отечественной практике принято под объективной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понимать принципиальную возможность споров определенного рода быть предметом рассмотрения в арбитраже. </w:t>
      </w:r>
    </w:p>
    <w:p w14:paraId="5814C459" w14:textId="77777777" w:rsidR="005D7DA6" w:rsidRPr="005D7DA6" w:rsidRDefault="005D7DA6" w:rsidP="005D7DA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DA6">
        <w:rPr>
          <w:rFonts w:ascii="Times New Roman" w:hAnsi="Times New Roman" w:cs="Times New Roman"/>
          <w:i/>
          <w:iCs/>
          <w:sz w:val="28"/>
          <w:szCs w:val="28"/>
        </w:rPr>
        <w:t xml:space="preserve">Субъективная </w:t>
      </w:r>
      <w:proofErr w:type="spellStart"/>
      <w:r w:rsidRPr="005D7DA6">
        <w:rPr>
          <w:rFonts w:ascii="Times New Roman" w:hAnsi="Times New Roman" w:cs="Times New Roman"/>
          <w:i/>
          <w:iCs/>
          <w:sz w:val="28"/>
          <w:szCs w:val="28"/>
        </w:rPr>
        <w:t>арбитрабельность</w:t>
      </w:r>
      <w:proofErr w:type="spellEnd"/>
    </w:p>
    <w:p w14:paraId="2FBD6CDD" w14:textId="358052E3" w:rsidR="005D7DA6" w:rsidRPr="005D7DA6" w:rsidRDefault="005D7DA6" w:rsidP="005D7DA6">
      <w:pPr>
        <w:jc w:val="both"/>
        <w:rPr>
          <w:rFonts w:ascii="Times New Roman" w:hAnsi="Times New Roman" w:cs="Times New Roman"/>
          <w:sz w:val="28"/>
          <w:szCs w:val="28"/>
        </w:rPr>
      </w:pPr>
      <w:r w:rsidRPr="005D7DA6">
        <w:rPr>
          <w:rFonts w:ascii="Times New Roman" w:hAnsi="Times New Roman" w:cs="Times New Roman"/>
          <w:sz w:val="28"/>
          <w:szCs w:val="28"/>
        </w:rPr>
        <w:t xml:space="preserve">Субъективная </w:t>
      </w:r>
      <w:proofErr w:type="spellStart"/>
      <w:r w:rsidRPr="005D7DA6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D7DA6">
        <w:rPr>
          <w:rFonts w:ascii="Times New Roman" w:hAnsi="Times New Roman" w:cs="Times New Roman"/>
          <w:sz w:val="28"/>
          <w:szCs w:val="28"/>
        </w:rPr>
        <w:t xml:space="preserve"> предполагает наличие у субъекта юридически обеспеченной возможности передать спор на рассмотрение третейского суда. Как правило, законодатель предоставляет право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DA6">
        <w:rPr>
          <w:rFonts w:ascii="Times New Roman" w:hAnsi="Times New Roman" w:cs="Times New Roman"/>
          <w:sz w:val="28"/>
          <w:szCs w:val="28"/>
        </w:rPr>
        <w:t xml:space="preserve"> всем субъектам правоотношений быть участниками арбитражного разбирательства. Так, некоторые категории публичных лиц ограничены в таких возможностях.</w:t>
      </w:r>
    </w:p>
    <w:p w14:paraId="11062EA8" w14:textId="77777777" w:rsidR="005D7DA6" w:rsidRPr="005D7DA6" w:rsidRDefault="005D7DA6" w:rsidP="005D7DA6">
      <w:pPr>
        <w:jc w:val="both"/>
        <w:rPr>
          <w:rFonts w:ascii="Times New Roman" w:hAnsi="Times New Roman" w:cs="Times New Roman"/>
          <w:sz w:val="28"/>
          <w:szCs w:val="28"/>
        </w:rPr>
      </w:pPr>
      <w:r w:rsidRPr="005D7DA6">
        <w:rPr>
          <w:rFonts w:ascii="Times New Roman" w:hAnsi="Times New Roman" w:cs="Times New Roman"/>
          <w:sz w:val="28"/>
          <w:szCs w:val="28"/>
        </w:rPr>
        <w:lastRenderedPageBreak/>
        <w:t xml:space="preserve">В пределах, установленных законом, заинтересованные субъекты самостоятельно определяют объем возможных спорных отношений, которые могут быть переданы на рассмотрение третейского суда. В этом смысле источником </w:t>
      </w:r>
      <w:proofErr w:type="spellStart"/>
      <w:r w:rsidRPr="005D7DA6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5D7DA6">
        <w:rPr>
          <w:rFonts w:ascii="Times New Roman" w:hAnsi="Times New Roman" w:cs="Times New Roman"/>
          <w:sz w:val="28"/>
          <w:szCs w:val="28"/>
        </w:rPr>
        <w:t xml:space="preserve"> является автономная, но согласованная друг с другом воля сторон, которая находит свое выражение в арбитражном соглашении.</w:t>
      </w:r>
    </w:p>
    <w:p w14:paraId="3538AABD" w14:textId="77777777" w:rsidR="005D7DA6" w:rsidRPr="005D7DA6" w:rsidRDefault="005D7DA6" w:rsidP="005D7DA6">
      <w:pPr>
        <w:jc w:val="both"/>
        <w:rPr>
          <w:rFonts w:ascii="Times New Roman" w:hAnsi="Times New Roman" w:cs="Times New Roman"/>
          <w:sz w:val="28"/>
          <w:szCs w:val="28"/>
        </w:rPr>
      </w:pPr>
      <w:r w:rsidRPr="005D7DA6">
        <w:rPr>
          <w:rFonts w:ascii="Times New Roman" w:hAnsi="Times New Roman" w:cs="Times New Roman"/>
          <w:sz w:val="28"/>
          <w:szCs w:val="28"/>
        </w:rPr>
        <w:t xml:space="preserve">Субъективная </w:t>
      </w:r>
      <w:proofErr w:type="spellStart"/>
      <w:r w:rsidRPr="005D7DA6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D7DA6">
        <w:rPr>
          <w:rFonts w:ascii="Times New Roman" w:hAnsi="Times New Roman" w:cs="Times New Roman"/>
          <w:sz w:val="28"/>
          <w:szCs w:val="28"/>
        </w:rPr>
        <w:t xml:space="preserve"> подразумевает и наличие правоспособности лица, обладающего соответствующим субъективным правом, обеспечивающим его юридическую возможность заключить арбитражное соглашение. Правоспособность лица определяется в соответствии с нормами гражданского законодательства. В том случае, если лицо не обладает необходимой правоспособностью (например, </w:t>
      </w:r>
      <w:proofErr w:type="spellStart"/>
      <w:r w:rsidRPr="005D7DA6">
        <w:rPr>
          <w:rFonts w:ascii="Times New Roman" w:hAnsi="Times New Roman" w:cs="Times New Roman"/>
          <w:sz w:val="28"/>
          <w:szCs w:val="28"/>
        </w:rPr>
        <w:t>неправосубъектно</w:t>
      </w:r>
      <w:proofErr w:type="spellEnd"/>
      <w:r w:rsidRPr="005D7DA6">
        <w:rPr>
          <w:rFonts w:ascii="Times New Roman" w:hAnsi="Times New Roman" w:cs="Times New Roman"/>
          <w:sz w:val="28"/>
          <w:szCs w:val="28"/>
        </w:rPr>
        <w:t xml:space="preserve">, будучи структурным подразделением юридического лица, или не достигло возраста, с которым правопорядок связывает возникновение дееспособности), то заключенное им арбитражное соглашение не повлечет правовых последствий, которые бы предусматривали обязательное рассмотрение спора с участием такого лица третейским судом. В свою очередь, это влечет вывод о том, что вопрос о субъективной </w:t>
      </w:r>
      <w:proofErr w:type="spellStart"/>
      <w:r w:rsidRPr="005D7DA6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5D7DA6">
        <w:rPr>
          <w:rFonts w:ascii="Times New Roman" w:hAnsi="Times New Roman" w:cs="Times New Roman"/>
          <w:sz w:val="28"/>
          <w:szCs w:val="28"/>
        </w:rPr>
        <w:t xml:space="preserve"> тесным образом связан с действительностью арбитражного соглашения.</w:t>
      </w:r>
    </w:p>
    <w:p w14:paraId="4078F081" w14:textId="16F8A276" w:rsidR="005D7DA6" w:rsidRDefault="005D7DA6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5D7DA6">
        <w:rPr>
          <w:rFonts w:ascii="Times New Roman" w:hAnsi="Times New Roman" w:cs="Times New Roman"/>
          <w:sz w:val="28"/>
          <w:szCs w:val="28"/>
        </w:rPr>
        <w:t xml:space="preserve">Таким образом, субъективная </w:t>
      </w:r>
      <w:proofErr w:type="spellStart"/>
      <w:r w:rsidRPr="005D7DA6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D7DA6">
        <w:rPr>
          <w:rFonts w:ascii="Times New Roman" w:hAnsi="Times New Roman" w:cs="Times New Roman"/>
          <w:sz w:val="28"/>
          <w:szCs w:val="28"/>
        </w:rPr>
        <w:t xml:space="preserve"> имеет два аспекта — волю сторон, определяющую возможность спора быть переданным на рассмотрение арбитража, и правосубъектность лица, заключающего арбитражное соглашение, которым определяется </w:t>
      </w:r>
      <w:proofErr w:type="spellStart"/>
      <w:r w:rsidRPr="005D7DA6">
        <w:rPr>
          <w:rFonts w:ascii="Times New Roman" w:hAnsi="Times New Roman" w:cs="Times New Roman"/>
          <w:sz w:val="28"/>
          <w:szCs w:val="28"/>
        </w:rPr>
        <w:t>арбитрабельность</w:t>
      </w:r>
      <w:proofErr w:type="spellEnd"/>
      <w:r w:rsidRPr="005D7DA6">
        <w:rPr>
          <w:rFonts w:ascii="Times New Roman" w:hAnsi="Times New Roman" w:cs="Times New Roman"/>
          <w:sz w:val="28"/>
          <w:szCs w:val="28"/>
        </w:rPr>
        <w:t xml:space="preserve"> спора.</w:t>
      </w:r>
    </w:p>
    <w:p w14:paraId="04CC66D5" w14:textId="77777777" w:rsidR="00917E3B" w:rsidRPr="00917E3B" w:rsidRDefault="00917E3B" w:rsidP="000A592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17E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Объективная </w:t>
      </w:r>
      <w:proofErr w:type="spellStart"/>
      <w:r w:rsidRPr="00917E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арбитрабельность</w:t>
      </w:r>
      <w:proofErr w:type="spellEnd"/>
    </w:p>
    <w:p w14:paraId="610A6A54" w14:textId="77777777" w:rsidR="005D7DA6" w:rsidRDefault="00917E3B" w:rsidP="000A5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субъективная </w:t>
      </w:r>
      <w:proofErr w:type="spellStart"/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арбитрабельность</w:t>
      </w:r>
      <w:proofErr w:type="spellEnd"/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как способность стороны к заключению арбитражного соглашения (что рассматривается в целом как аналог соответствующей процессуальной дееспособности), то </w:t>
      </w:r>
      <w:r w:rsidR="005D7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 </w:t>
      </w:r>
      <w:r w:rsidRPr="00917E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объективной </w:t>
      </w:r>
      <w:proofErr w:type="spellStart"/>
      <w:r w:rsidRPr="00917E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арбитрабельностью</w:t>
      </w:r>
      <w:proofErr w:type="spellEnd"/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понимается возможность заключения арбитражного соглашения в отношении </w:t>
      </w:r>
      <w:r w:rsidRPr="00917E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предмета спора.</w:t>
      </w:r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091BEFD" w14:textId="68CB79BE" w:rsidR="00917E3B" w:rsidRPr="00917E3B" w:rsidRDefault="00917E3B" w:rsidP="000A5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объективная </w:t>
      </w:r>
      <w:proofErr w:type="spellStart"/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арбитрабельность</w:t>
      </w:r>
      <w:proofErr w:type="spellEnd"/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связана со свойством дела (характером спора) и определяет допустимость рассмотрения в арбитраже определенных категорий дел. В этом смысле </w:t>
      </w:r>
      <w:proofErr w:type="spellStart"/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арбитрабельность</w:t>
      </w:r>
      <w:proofErr w:type="spellEnd"/>
      <w:r w:rsidRPr="00917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также и общее условие признания компетенции состава третейского суда на рассмотрение спора определенной категории.</w:t>
      </w:r>
    </w:p>
    <w:p w14:paraId="248C84EC" w14:textId="77777777" w:rsidR="00917E3B" w:rsidRDefault="00917E3B" w:rsidP="000A5920">
      <w:pPr>
        <w:jc w:val="both"/>
        <w:rPr>
          <w:rFonts w:ascii="Times New Roman" w:hAnsi="Times New Roman" w:cs="Times New Roman"/>
          <w:sz w:val="28"/>
          <w:szCs w:val="28"/>
        </w:rPr>
      </w:pPr>
      <w:r w:rsidRPr="00917E3B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917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087FA" w14:textId="1708F751" w:rsidR="00917E3B" w:rsidRPr="00917E3B" w:rsidRDefault="00917E3B" w:rsidP="000A5920">
      <w:pPr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17E3B">
        <w:rPr>
          <w:rFonts w:ascii="Times New Roman" w:hAnsi="Times New Roman" w:cs="Times New Roman"/>
          <w:sz w:val="28"/>
          <w:szCs w:val="28"/>
        </w:rPr>
        <w:t xml:space="preserve">Существующие подходы к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не позволяют однозначно судить о данном явлении, пусть уже и «пустившем корни» в российской доктрине, но до конца еще не устоявшемся. Так называемая процессуальная реформа, </w:t>
      </w:r>
      <w:r w:rsidRPr="00917E3B">
        <w:rPr>
          <w:rFonts w:ascii="Times New Roman" w:hAnsi="Times New Roman" w:cs="Times New Roman"/>
          <w:sz w:val="28"/>
          <w:szCs w:val="28"/>
        </w:rPr>
        <w:lastRenderedPageBreak/>
        <w:t>выражающаяся в принятии Федерального закона № 451</w:t>
      </w:r>
      <w:r w:rsidRPr="00917E3B">
        <w:rPr>
          <w:rFonts w:ascii="Times New Roman" w:hAnsi="Times New Roman" w:cs="Times New Roman"/>
          <w:sz w:val="28"/>
          <w:szCs w:val="28"/>
        </w:rPr>
        <w:noBreakHyphen/>
        <w:t xml:space="preserve">ФЗ, не позволяет в полной мере ответить на вопрос о соотношении ключевых понятий процессуального права «подведомственность» и «компетенция», а также об их соотношении с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арбитрабельностью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. Относительно понятия </w:t>
      </w:r>
      <w:proofErr w:type="spellStart"/>
      <w:r w:rsidRPr="00917E3B">
        <w:rPr>
          <w:rFonts w:ascii="Times New Roman" w:hAnsi="Times New Roman" w:cs="Times New Roman"/>
          <w:sz w:val="28"/>
          <w:szCs w:val="28"/>
        </w:rPr>
        <w:t>арбитрабельности</w:t>
      </w:r>
      <w:proofErr w:type="spellEnd"/>
      <w:r w:rsidRPr="00917E3B">
        <w:rPr>
          <w:rFonts w:ascii="Times New Roman" w:hAnsi="Times New Roman" w:cs="Times New Roman"/>
          <w:sz w:val="28"/>
          <w:szCs w:val="28"/>
        </w:rPr>
        <w:t xml:space="preserve"> считаем, что необходимо его закрепление на законодательном уровне как в Федеральном законе «Об арбитраже (третейском разбирательстве) в РФ», так и в Законе РФ «О международном коммерческом арбитраже». </w:t>
      </w:r>
    </w:p>
    <w:sectPr w:rsidR="00917E3B" w:rsidRPr="0091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14C"/>
    <w:multiLevelType w:val="hybridMultilevel"/>
    <w:tmpl w:val="3B14CA16"/>
    <w:lvl w:ilvl="0" w:tplc="8E607D4C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85"/>
    <w:rsid w:val="000A5920"/>
    <w:rsid w:val="001250CA"/>
    <w:rsid w:val="001A2885"/>
    <w:rsid w:val="005725E9"/>
    <w:rsid w:val="005D7DA6"/>
    <w:rsid w:val="008B6354"/>
    <w:rsid w:val="00917E3B"/>
    <w:rsid w:val="00994D37"/>
    <w:rsid w:val="009C1B51"/>
    <w:rsid w:val="00A71B55"/>
    <w:rsid w:val="00AB6B92"/>
    <w:rsid w:val="00B42A9E"/>
    <w:rsid w:val="00E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6DC"/>
  <w15:chartTrackingRefBased/>
  <w15:docId w15:val="{58C6553B-C597-4DE3-B0D0-70AF6A78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7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Кальницкая Евгения Дмитриевна</dc:creator>
  <cp:keywords/>
  <dc:description/>
  <cp:lastModifiedBy>Ястребцова Мария Игоревна</cp:lastModifiedBy>
  <cp:revision>11</cp:revision>
  <dcterms:created xsi:type="dcterms:W3CDTF">2022-10-09T05:40:00Z</dcterms:created>
  <dcterms:modified xsi:type="dcterms:W3CDTF">2022-10-09T19:30:00Z</dcterms:modified>
</cp:coreProperties>
</file>