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F0" w:rsidRDefault="001C55F0">
      <w:pPr>
        <w:rPr>
          <w:rFonts w:ascii="Times New Roman" w:hAnsi="Times New Roman" w:cs="Times New Roman"/>
          <w:b/>
          <w:sz w:val="28"/>
        </w:rPr>
      </w:pPr>
      <w:r>
        <w:rPr>
          <w:rFonts w:ascii="Times New Roman" w:hAnsi="Times New Roman" w:cs="Times New Roman"/>
          <w:b/>
          <w:sz w:val="28"/>
        </w:rPr>
        <w:t>Подготовила Кучерова Полина ЮЮГ-251.</w:t>
      </w:r>
    </w:p>
    <w:p w:rsidR="00BD73BA" w:rsidRDefault="001C55F0">
      <w:pPr>
        <w:rPr>
          <w:rFonts w:ascii="Times New Roman" w:hAnsi="Times New Roman" w:cs="Times New Roman"/>
          <w:b/>
          <w:sz w:val="28"/>
        </w:rPr>
      </w:pPr>
      <w:r w:rsidRPr="001C55F0">
        <w:rPr>
          <w:rFonts w:ascii="Times New Roman" w:hAnsi="Times New Roman" w:cs="Times New Roman"/>
          <w:b/>
          <w:sz w:val="28"/>
        </w:rPr>
        <w:t>Особенности французского вещного права. Разграничение имущества на движимое и недвижимое.Полномочия собственника</w:t>
      </w:r>
      <w:r>
        <w:rPr>
          <w:rFonts w:ascii="Times New Roman" w:hAnsi="Times New Roman" w:cs="Times New Roman"/>
          <w:b/>
          <w:sz w:val="28"/>
        </w:rPr>
        <w:t>.</w:t>
      </w: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Кодекс выделял три вида собственности в зависимости от субъекта права: 1) индивидуальная, 2) государственная, или общественное обладание, 3) общинно- коммунальная. Преобладающее внимание уделялось частной собственности. Однако оговаривалось, что некоторые объекты могут быть только в государственной (порты, крепости и т. п.) или тольк</w:t>
      </w:r>
      <w:r>
        <w:rPr>
          <w:rFonts w:ascii="Times New Roman" w:hAnsi="Times New Roman" w:cs="Times New Roman"/>
          <w:sz w:val="28"/>
        </w:rPr>
        <w:t>о в коммунальной собственности.</w:t>
      </w: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Все вещи делились на 4 группы. Первой группой признавалась собственно недвижимость (земля, дом — любой стоимости и размера). Второй — принадлежащие недвижимости в силу своего предназначения (мебель и убранство в доме, скот для обработки земли и т. п., висящие на деревьях плоды). Третьей группой были прочие движимые вещи. Четвертую составили особо ценные движимые вещи (деньги, драгоценности, частные бумаги, предметы роскоши, коллекции). Подразделение вещей было существенным для разных требований в отношении отчуждения, разных о</w:t>
      </w:r>
      <w:r>
        <w:rPr>
          <w:rFonts w:ascii="Times New Roman" w:hAnsi="Times New Roman" w:cs="Times New Roman"/>
          <w:sz w:val="28"/>
        </w:rPr>
        <w:t>пераций с ними, заклада и т. п.</w:t>
      </w:r>
    </w:p>
    <w:p w:rsidR="001C55F0" w:rsidRDefault="001C55F0" w:rsidP="001C55F0">
      <w:pPr>
        <w:rPr>
          <w:rFonts w:ascii="Times New Roman" w:hAnsi="Times New Roman" w:cs="Times New Roman"/>
          <w:sz w:val="28"/>
        </w:rPr>
      </w:pPr>
      <w:r w:rsidRPr="001C55F0">
        <w:rPr>
          <w:rFonts w:ascii="Times New Roman" w:hAnsi="Times New Roman" w:cs="Times New Roman"/>
          <w:sz w:val="28"/>
        </w:rPr>
        <w:t>Кодекс Наполеона уничтожил различие между имуществом родовым и благоприобретенным, запретил субституции, поскольку они препятствовали полному распоряжению собственностью, была разрешена тайная мена недвижимых имуществ. Кодекс не дает определения права собственности, но перечисляет в ст. 544 основные правомочия собственника — пользование и распоряжение вещами. Причем Кодекс устанавливает возможность осуществлять их наиболее абсолютным образом, с тем чтобы пользование не являлось таким, которое запрещено законом или регламентом. Статья 546 подчеркивает полноту права собственности, устанавливая, что собственность на вещь дает право на все, что эта вещь производит.</w:t>
      </w: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В то же время право собственности по Кодексу Наполеона — это полное, чисто римское право, которое разрешает собственнику широко пользоваться, распоряжаться вещью, вплоть до ее уничтожения. Таким образом, на содержание статей, посвященных праву собственности, наибольшее влияние оказали революционное законодательство и римское право. Однако свобода собственности не</w:t>
      </w:r>
      <w:r>
        <w:rPr>
          <w:rFonts w:ascii="Times New Roman" w:hAnsi="Times New Roman" w:cs="Times New Roman"/>
          <w:sz w:val="28"/>
        </w:rPr>
        <w:t xml:space="preserve"> может означать полной свободы.</w:t>
      </w: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 xml:space="preserve">Поэтому в интересах третьих лиц Кодекс Наполеона устанавливает некоторые ограничения произвола собственника. Но эти ограничения всегда конкретны, нет общих правил, которые предписывали бы всякому собственнику считаться с важнейшими интересами общества или третьих лиц. В качестве примера такого ограничения может служить ст. 545, что </w:t>
      </w:r>
      <w:r w:rsidRPr="001C55F0">
        <w:rPr>
          <w:rFonts w:ascii="Times New Roman" w:hAnsi="Times New Roman" w:cs="Times New Roman"/>
          <w:sz w:val="28"/>
        </w:rPr>
        <w:lastRenderedPageBreak/>
        <w:t>«никто не может быть принуждаем к уступке своей собственности, если это не делается по причине общественной пользы и за справедливое и п</w:t>
      </w:r>
      <w:r>
        <w:rPr>
          <w:rFonts w:ascii="Times New Roman" w:hAnsi="Times New Roman" w:cs="Times New Roman"/>
          <w:sz w:val="28"/>
        </w:rPr>
        <w:t>редварительное вознаграждение».</w:t>
      </w:r>
    </w:p>
    <w:p w:rsidR="001C55F0" w:rsidRDefault="001C55F0" w:rsidP="001C55F0">
      <w:pPr>
        <w:rPr>
          <w:rFonts w:ascii="Times New Roman" w:hAnsi="Times New Roman" w:cs="Times New Roman"/>
          <w:sz w:val="28"/>
        </w:rPr>
      </w:pPr>
      <w:r w:rsidRPr="001C55F0">
        <w:rPr>
          <w:rFonts w:ascii="Times New Roman" w:hAnsi="Times New Roman" w:cs="Times New Roman"/>
          <w:sz w:val="28"/>
        </w:rPr>
        <w:t>В рассмотренных выше статьях Кодекса речь идет о собственности вообще, однако наибольшее внимание законодателя привлекает собственность недвижимая, прежде всего земельная. Это отражало существовавшее в то время положение, когда промышленный капитал еще не получил значительного развития. Детальным образом в Кодексе регламентированы права собственника земельного участка, сервитут, порядок раздела недвижимого имущества между наследниками, залог земли и т. п. О преимуществе недвижимости говорит и тот факт, что движимым имуществом опекун мог распоряжаться сам, а недвижимым — с согласия семейного совета или суда.</w:t>
      </w:r>
    </w:p>
    <w:p w:rsidR="001C55F0" w:rsidRDefault="001C55F0" w:rsidP="001C55F0">
      <w:pPr>
        <w:rPr>
          <w:rFonts w:ascii="Times New Roman" w:hAnsi="Times New Roman" w:cs="Times New Roman"/>
          <w:sz w:val="28"/>
        </w:rPr>
      </w:pPr>
      <w:r w:rsidRPr="001C55F0">
        <w:rPr>
          <w:rFonts w:ascii="Times New Roman" w:hAnsi="Times New Roman" w:cs="Times New Roman"/>
          <w:sz w:val="28"/>
        </w:rPr>
        <w:t>Права собственника земельного участка формулирует ст. 552: «Собственность на землю включает в себя собственность на то, что находится над землей и под землей». Содержание этой статьи, определяющее право собственника земельного участка на почву, недра и воздух, еще раз подчеркивает буржуазный характер Кодекса, предоставляющего широкие права на землю. В Кодексе не забыты и собственники движимого имущества (банкиры, торговцы). Для охраны именно их интересов установлено знаменитое правило: в отношении движимых вещей владение признается юридическим основанием права на вещь (ст. 2279). Речь идет о добросовестном владении, но «добросовестность всегда предполагается, и тот, кто указывает на недобросовестность (другого лица), должен эту недобросовестность доказать» (ст. 2268).</w:t>
      </w: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Помимо права собственности Кодекс Наполеона знает и другие вещные права: на чужие вещи (узуфрукт, проживание в чужом доме, сервитут, право залога), владения, держания. Сервитут представлял собой повинность, лежащую на одном недвижимом имуществе, в целях пользования и употребления другого имущества, принадлежащего иному собственнику — статья 637. Сервитуты подразделялись с точки зрения основания или причины их установления на сервитуты частного характера, сервитуты, основанные на естественном расположении участков, а также сервитуты, устанавливаемые на 1 участок для нужд пользования другим по волеизъявлению собственников этих участков. По способу установления различались сервитуты по закону, по судебному решению, по сроку давности, по распоряжению главы семьи или по соглашению собственников. В принципе было «позволено владельцам устанавливать на своих участках или в пользу своей собственности такие сервитуты, какие пожелают» - статья 686.</w:t>
      </w:r>
    </w:p>
    <w:p w:rsidR="001C55F0" w:rsidRPr="001C55F0" w:rsidRDefault="001C55F0" w:rsidP="001C55F0">
      <w:pPr>
        <w:rPr>
          <w:rFonts w:ascii="Times New Roman" w:hAnsi="Times New Roman" w:cs="Times New Roman"/>
          <w:sz w:val="28"/>
        </w:rPr>
      </w:pPr>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В ГК также регулировался такой вещно-правовой институт, как узуфрукт — статьи 578-624. Это пожизненное «...в чистом виде, или на срок, или под условием» - статья 580 — вещное право, носитель которого правомочен пользоваться принадлежащей другому лицу вещью и извлекать из нее выгоду при условии сохранения существа этой вещи. Узуфрукт мог быть установлен на движимую или недвижимую вещь на основании предписаний закона или по воле человека. В отличие от сервитута, этот институт был ограничен продолжительностью жизни узуфруктуария. Основания прекращения узуфрукта, помимо естественной причины — смерти пользующегося, излагались в статья 617-619. В кодексе были закреплены еще 2 вещно-правовых института — право пользования чужой вещью и право проживания в чужом доме — статьи 625-636 — которые носили строго личный характер, принадлежали только управомоченному лицу и его семье, не могли ни отчуждаться, ни передаваться, ни использоват</w:t>
      </w:r>
      <w:r>
        <w:rPr>
          <w:rFonts w:ascii="Times New Roman" w:hAnsi="Times New Roman" w:cs="Times New Roman"/>
          <w:sz w:val="28"/>
        </w:rPr>
        <w:t>ься в целях извлечения доходов.</w:t>
      </w:r>
      <w:bookmarkStart w:id="0" w:name="_GoBack"/>
      <w:bookmarkEnd w:id="0"/>
    </w:p>
    <w:p w:rsidR="001C55F0" w:rsidRPr="001C55F0" w:rsidRDefault="001C55F0" w:rsidP="001C55F0">
      <w:pPr>
        <w:rPr>
          <w:rFonts w:ascii="Times New Roman" w:hAnsi="Times New Roman" w:cs="Times New Roman"/>
          <w:sz w:val="28"/>
        </w:rPr>
      </w:pPr>
      <w:r w:rsidRPr="001C55F0">
        <w:rPr>
          <w:rFonts w:ascii="Times New Roman" w:hAnsi="Times New Roman" w:cs="Times New Roman"/>
          <w:sz w:val="28"/>
        </w:rPr>
        <w:t>В XIX в. положения Кодекса о собственности не претерпели практических изменений. Среди нововведений следует отметить закон 1810 г., устанавливающий, что разработка недр собственниками земельных участков возможна лишь с разрешения государства.</w:t>
      </w:r>
    </w:p>
    <w:sectPr w:rsidR="001C55F0" w:rsidRPr="001C5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AD"/>
    <w:rsid w:val="001370AD"/>
    <w:rsid w:val="001C55F0"/>
    <w:rsid w:val="00BD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DC70"/>
  <w15:chartTrackingRefBased/>
  <w15:docId w15:val="{0E389C41-0213-4490-B5CE-A86CBD1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Кучерова</dc:creator>
  <cp:keywords/>
  <dc:description/>
  <cp:lastModifiedBy>Полина Кучерова</cp:lastModifiedBy>
  <cp:revision>2</cp:revision>
  <dcterms:created xsi:type="dcterms:W3CDTF">2021-06-18T12:31:00Z</dcterms:created>
  <dcterms:modified xsi:type="dcterms:W3CDTF">2021-06-18T12:40:00Z</dcterms:modified>
</cp:coreProperties>
</file>